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TABLICA ZA POPUNJAVANJE ISHODA UČENJA </w:t>
      </w:r>
    </w:p>
    <w:p w:rsidR="00000000" w:rsidDel="00000000" w:rsidP="00000000" w:rsidRDefault="00000000" w:rsidRPr="00000000" w14:paraId="00000002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trHeight w:val="570" w:hRule="atLeast"/>
        </w:trPr>
        <w:tc>
          <w:tcPr>
            <w:shd w:fill="9cc3e5" w:val="clear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KRIMINOLOGIJA S OSNOVAMA KAZNENOG PRAVA</w:t>
            </w:r>
          </w:p>
        </w:tc>
      </w:tr>
      <w:tr>
        <w:trPr>
          <w:trHeight w:val="46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OBVEZNI / 4. godina</w:t>
            </w:r>
          </w:p>
        </w:tc>
      </w:tr>
      <w:tr>
        <w:trPr>
          <w:trHeight w:val="30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</w:tc>
      </w:tr>
      <w:tr>
        <w:trPr>
          <w:trHeight w:val="40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ECTS boda:</w:t>
            </w:r>
          </w:p>
          <w:p w:rsidR="00000000" w:rsidDel="00000000" w:rsidP="00000000" w:rsidRDefault="00000000" w:rsidRPr="00000000" w14:paraId="0000000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  <w:tab/>
              <w:t xml:space="preserve">Predavanja - 30 sati: cca. 1 ECTS</w:t>
            </w:r>
          </w:p>
          <w:p w:rsidR="00000000" w:rsidDel="00000000" w:rsidP="00000000" w:rsidRDefault="00000000" w:rsidRPr="00000000" w14:paraId="0000000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  <w:tab/>
              <w:t xml:space="preserve">Priprema za predavanje (rad na slučajevima i prezentacijama, izučavanje literature, analiza slučajeva) - 30 sati: cca. 1 ECTS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  <w:tab/>
              <w:t xml:space="preserve">Rad studenta, priprema za kolokvij i ispit (samostalno čitanje i učenje literature ) – 30 sati; cca. 1 ECTS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trHeight w:val="25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sv.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14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stečena znanja o kriminologiji kao znanstvenoj disciplini, uključujući njezin predmet, metode, definiciju i odnos s drugim kaznenim znanostima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(14)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praksi, vještina jasnog i razgovijetnoga usmenog i pisanog izražavanja, sposobnost učenja.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F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Uvod u kriminologiju; Predmet i definicija kriminologije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Odnos kriminologije s drugim kaznenim znanostima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4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proučavanje, usporedba i tumačenje zakonskih normi i kriminoloških istraživanja, samostalno čitanje, vođena diskusija, istraživanje i izučavanje literature.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6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Kolokvij (pitanja objektivnog tipa: višestruki odabir ili/i zadatak esejskog tipa: objašnjenje zadane teme) i/ili pisani ispit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29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Identificirati fenomenološke osobitosti različitih pojavnih oblika kažnjivih ponašanja, posebice delikata nasilja, imovinskog kriminala, zlouporabe opojnih droga, organiziranog kriminala, korupcije i pranja novca, cyber-kriminala, te fenomenološke osobitosti određenih skupina delinkvenata, uključujući maloljetnike, osobe s duševnim smetnjama, žene, starije osobe i povratnike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B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Primijeniti metode socijalnog rada s pojedincem, obitelji, grupom i zajednicom (5)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logičko argumentiranje uz uvažavanje drugačijeg mišljenja, sposobnost učenja, razrada vlastitih ideja sposobnost analize.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3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Kriminološka fenomenologija: imovinski kriminal i zlouporaba opojnih droga 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Kriminološka fenomenologija: organizirani kriminal, korupcija i pranje novca  i cyber-kriminal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Fenomenološke posebnosti određenih skupina delinkvenata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Kriminološka fenomenologija: delikti nasilja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A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proučavanje, usporedba i tumačenje različitih pojavnih oblika kažnjivih ponašanja, analiza presuda nacionalnih sudova i prikupljanje empirijskih podataka iz službenih evidencija, samostalno čitanje, vođena diskusija, istraživanje i izučavanje literature.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C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Kolokvij (pitanja objektivnog tipa: višestruki odabir ili/i zadatak esejskog tipa: objašnjenje zadane teme) i/ili pisani ispit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3F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Odrediti kriminološku etiologiju, tj. teorije o uzrocima kažnjivih ponašanja, posebno prve kriminološke diskurse, pozitivističku školu, ekološke teorije, teoriju anomije, teoriju etiketiranja, teoriju diferencijalne asocijacije, teoriju genetske predispozicije za kažnjivo ponašanje i ostale biološke teorije, radikalnu kriminologiju te ostale kriminološke teorije;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1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i evaluirati ishode socijalnih programa te ishode rada s pojedincem, obitelji, grupom i u zajednici (8)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znanstvene metode u analizi socijalnih rizika i problema te vrednovanju socijalnih programa i postupanja socijalnih radnika (13)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6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8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analize kriminološke etiologije, sposobnost timskog rada, sposobnost primjene teorije o uzrocima kažnjivih ponašanja u kriminološkim istraživanjima, sposobnost učenja, jasno i razgovijetno izražavanje.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A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Kriminološka etiologija 1. dio: prvi kriminološki diskursi i pozitivistička škola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Kriminološka etiologija 2. dio: ekološke teorije, teorija anomije, teorija etiketiranja, teorija diferencijalne asocijacije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Kriminološka etiologija 3. dio: biološke teorije i radikalna kriminologija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F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proučavanje, usporedba i tumačenje kriminoloških teorija te normi međunarodnog i europskog prava, samostalno čitanje, vođena diskusija, istraživanje i izučavanje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1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Kolokvij (pitanja objektivnog tipa: višestruki odabir ili/i zadatak esejskog tipa: objašnjenje zadane teme) i/ili pisani ispit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54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ostala kriminološki relevantna područja, posebice viktimologiju, ali i penologiju i znanstveno utemeljenu politiku suzbijanja kažnjivih ponašanja, uključujući najnovije spoznaje dobivene kriminološkim istraživanjima.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5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59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i evaluirati ishode socijalnih programa te ishode rada s pojedincem, obitelji, grupom i u zajednici (8)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Stvaranje / sinteza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analize kriminološki relevantnih područja, sposobnost timskog rada, sposobnost primjene teorijskih spoznaja na politiku suzbijanja kažnjivih ponašanja, sposobnost učenja, jasno i razgovijetno izražavanje.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Pregled novijih kriminoloških teorija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Kriminološka istraživanja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proučavanje, usporedba i tumačenje kriminološki relevantnih područja i empirijskih spoznaja, samostalno čitanje, vođena diskusija, istraživanje i izučavanje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Kolokvij (pitanja objektivnog tipa: višestruki odabir ili/i zadatak esejskog tipa: objašnjenje zadane teme) i/ili pisani ispit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6">
    <w:lvl w:ilvl="0">
      <w:start w:val="4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928CA"/>
    <w:rPr>
      <w:lang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3D4468"/>
    <w:pPr>
      <w:ind w:left="720"/>
      <w:contextualSpacing w:val="1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2489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24899"/>
    <w:rPr>
      <w:rFonts w:ascii="Segoe UI" w:cs="Segoe UI" w:hAnsi="Segoe UI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B248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B24899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B24899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B24899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B24899"/>
    <w:rPr>
      <w:b w:val="1"/>
      <w:bCs w:val="1"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unhideWhenUsed w:val="1"/>
    <w:rsid w:val="00A15312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A15312"/>
    <w:rPr>
      <w:lang w:val="en-US"/>
    </w:rPr>
  </w:style>
  <w:style w:type="paragraph" w:styleId="Podnoje">
    <w:name w:val="footer"/>
    <w:basedOn w:val="Normal"/>
    <w:link w:val="PodnojeChar"/>
    <w:uiPriority w:val="99"/>
    <w:unhideWhenUsed w:val="1"/>
    <w:rsid w:val="00A15312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A15312"/>
    <w:rPr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iG5O3LaN8e9se0E9FChPhy3Z+w==">AMUW2mWs3iySgYLerqnZhDZlaEALVLK1bOivyDKR/iAkvSY9ehlHWaJY/1SlM+6OvKKPTrGDnpfxXEPbQ9oaH2W/aQaAvfGyJWFYVDthQm0S5ZRiww7STOg=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2021-07-15T06:37:00Z</dcterms:created>
  <dc:creator>Administrator</dc:creator>
</cp:coreProperties>
</file>